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9C2" w14:textId="77777777" w:rsidR="004E1CAE" w:rsidRPr="004E1CAE" w:rsidRDefault="004E1CAE" w:rsidP="004E1CAE">
      <w:pPr>
        <w:spacing w:after="240"/>
        <w:ind w:left="540"/>
        <w:jc w:val="center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b/>
          <w:bCs/>
          <w:color w:val="000000" w:themeColor="text1"/>
          <w:sz w:val="28"/>
          <w:szCs w:val="28"/>
        </w:rPr>
        <w:t>AFT Guild Mission Statement</w:t>
      </w:r>
    </w:p>
    <w:p w14:paraId="15F7106B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The American Federation of Teachers Guild, Local 1931, is an open, active, vital, member-driven organization representing classified professionals, faculty, and non-academic, non-classified employees in the Grossmont-Cuyamaca and San Diego Community College Districts.</w:t>
      </w:r>
    </w:p>
    <w:p w14:paraId="423DA3A6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We are dedicated to achieving and maintaining the highest quality:</w:t>
      </w:r>
    </w:p>
    <w:p w14:paraId="51BBFBC8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•     Educational environment for our students;</w:t>
      </w:r>
    </w:p>
    <w:p w14:paraId="33B717C0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•    Compensation and working conditions for all of the employees we represent;</w:t>
      </w:r>
    </w:p>
    <w:p w14:paraId="1216F067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•     Legal representation, ensuring that justice, fairness, dignity and due process are afforded to all members;</w:t>
      </w:r>
    </w:p>
    <w:p w14:paraId="1511561E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•     Workplace unity and equity, actively built on a foundation of respect among all members;</w:t>
      </w:r>
    </w:p>
    <w:p w14:paraId="5521874D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•     Solidarity among unions in supporting working people everywhere in their demands for a living wage, access to affordable health care, and respectable working conditions;</w:t>
      </w:r>
    </w:p>
    <w:p w14:paraId="02507CFA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•     Worker education programs emphasizing current issues affecting working families, as well as a broader perspective on laborers’ struggles throughout history;</w:t>
      </w:r>
    </w:p>
    <w:p w14:paraId="64D73ACA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•     Legislative advocacy on behalf of all workers and directed at all levels of the legislative system; and</w:t>
      </w:r>
    </w:p>
    <w:p w14:paraId="2FF74B86" w14:textId="77777777" w:rsidR="004E1CAE" w:rsidRPr="004E1CAE" w:rsidRDefault="004E1CAE" w:rsidP="004E1CAE">
      <w:pPr>
        <w:spacing w:before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9"/>
          <w:szCs w:val="29"/>
        </w:rPr>
        <w:t>•         Social justice unionism, in that “an injury to one is an injury to all.”  Thus, whether we are fighting for a better contract for ourselves or fellow workers, showing solidarity with other unions, social justice groups, anti-war activists, or environmentalists, or advocating and lobbying on behalf of our students, we are seeking to create a sustainable future. Our aim is to shift our society away from the corrosive values of greed, competition, and accumulation to those based on compassion, cooperation, and solidarity. </w:t>
      </w:r>
    </w:p>
    <w:p w14:paraId="3D1932FD" w14:textId="77777777" w:rsidR="004E1CAE" w:rsidRPr="004E1CAE" w:rsidRDefault="004E1CAE" w:rsidP="004E1CAE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Further, the Guild recognizes that achieving equity requires the dismantling of institutional racism, sexism, and homophobia as well as societal a</w:t>
      </w:r>
      <w:r w:rsidRPr="004E1CAE">
        <w:rPr>
          <w:rFonts w:ascii="TimesNewRomanPSMT" w:eastAsia="Times New Roman" w:hAnsi="TimesNewRomanPSMT"/>
          <w:color w:val="000000" w:themeColor="text1"/>
          <w:sz w:val="29"/>
          <w:szCs w:val="29"/>
        </w:rPr>
        <w:t>nd economic barriers facing workers in our society.  The Guild is committed to an intersectional approach in addressing equity gaps in educational opportunities.</w:t>
      </w:r>
    </w:p>
    <w:p w14:paraId="6790B045" w14:textId="53485595" w:rsidR="00A7162D" w:rsidRPr="002F45A7" w:rsidRDefault="004E1CAE" w:rsidP="002F45A7">
      <w:pPr>
        <w:spacing w:before="240" w:after="240"/>
        <w:rPr>
          <w:rFonts w:ascii="TimesNewRomanPSMT" w:eastAsia="Times New Roman" w:hAnsi="TimesNewRomanPSMT"/>
          <w:color w:val="000000" w:themeColor="text1"/>
          <w:sz w:val="21"/>
          <w:szCs w:val="21"/>
        </w:rPr>
      </w:pPr>
      <w:r w:rsidRPr="004E1CAE">
        <w:rPr>
          <w:rFonts w:ascii="TimesNewRomanPSMT" w:eastAsia="Times New Roman" w:hAnsi="TimesNewRomanPSMT"/>
          <w:color w:val="000000" w:themeColor="text1"/>
          <w:sz w:val="28"/>
          <w:szCs w:val="28"/>
        </w:rPr>
        <w:t>Finally, we commit ourselves, on behalf of all workers, to expanding and advancing the labor movement in general at all levels.</w:t>
      </w:r>
    </w:p>
    <w:sectPr w:rsidR="00A7162D" w:rsidRPr="002F45A7" w:rsidSect="004E1CAE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Headings CS)">
    <w:panose1 w:val="02020603050405020304"/>
    <w:charset w:val="00"/>
    <w:family w:val="roman"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AE"/>
    <w:rsid w:val="00173392"/>
    <w:rsid w:val="002E6FB6"/>
    <w:rsid w:val="002F45A7"/>
    <w:rsid w:val="004E1CAE"/>
    <w:rsid w:val="00625E0C"/>
    <w:rsid w:val="007C2E47"/>
    <w:rsid w:val="00C1690B"/>
    <w:rsid w:val="00CB740D"/>
    <w:rsid w:val="00D361F3"/>
    <w:rsid w:val="00E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F87DB"/>
  <w14:defaultImageDpi w14:val="32767"/>
  <w15:chartTrackingRefBased/>
  <w15:docId w15:val="{FE8801A6-E4EE-1240-B30D-50AE89CB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7E4E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Mahler</dc:creator>
  <cp:keywords/>
  <dc:description/>
  <cp:lastModifiedBy>Jim Mahler</cp:lastModifiedBy>
  <cp:revision>2</cp:revision>
  <dcterms:created xsi:type="dcterms:W3CDTF">2021-11-30T20:07:00Z</dcterms:created>
  <dcterms:modified xsi:type="dcterms:W3CDTF">2021-11-30T20:09:00Z</dcterms:modified>
</cp:coreProperties>
</file>