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5D29" w:rsidRPr="00955170" w:rsidRDefault="00315D29" w:rsidP="00315D29">
      <w:pPr>
        <w:suppressAutoHyphens/>
        <w:jc w:val="center"/>
        <w:rPr>
          <w:b/>
          <w:color w:val="000000" w:themeColor="text1"/>
        </w:rPr>
      </w:pPr>
      <w:bookmarkStart w:id="0" w:name="_GoBack"/>
      <w:bookmarkEnd w:id="0"/>
      <w:r w:rsidRPr="00955170">
        <w:rPr>
          <w:b/>
          <w:color w:val="000000" w:themeColor="text1"/>
        </w:rPr>
        <w:t>GROSSMONT-CUYAMACA COMMUNITY COLLEGE DISTRICT</w:t>
      </w:r>
    </w:p>
    <w:p w:rsidR="00315D29" w:rsidRDefault="00315D29" w:rsidP="00315D29">
      <w:pPr>
        <w:pStyle w:val="BodyText"/>
        <w:spacing w:after="0"/>
        <w:ind w:left="119" w:right="511"/>
        <w:rPr>
          <w:i/>
          <w:color w:val="000000" w:themeColor="text1"/>
        </w:rPr>
      </w:pPr>
    </w:p>
    <w:p w:rsidR="00315D29" w:rsidRPr="00315D29" w:rsidRDefault="00315D29" w:rsidP="00315D29">
      <w:pPr>
        <w:pStyle w:val="BodyText"/>
        <w:spacing w:after="0"/>
        <w:ind w:left="119" w:right="511"/>
        <w:jc w:val="center"/>
        <w:rPr>
          <w:color w:val="000000" w:themeColor="text1"/>
        </w:rPr>
      </w:pPr>
      <w:r w:rsidRPr="00315D29">
        <w:rPr>
          <w:color w:val="000000" w:themeColor="text1"/>
        </w:rPr>
        <w:t>ADJUNCT OFFICE HOURS PROGRAM</w:t>
      </w:r>
    </w:p>
    <w:p w:rsidR="00315D29" w:rsidRDefault="00315D29" w:rsidP="00315D29">
      <w:pPr>
        <w:pStyle w:val="BodyText"/>
        <w:spacing w:after="0"/>
        <w:ind w:left="119" w:right="511"/>
        <w:rPr>
          <w:i/>
          <w:color w:val="000000" w:themeColor="text1"/>
        </w:rPr>
      </w:pPr>
    </w:p>
    <w:p w:rsidR="00315D29" w:rsidRPr="000C0D78" w:rsidRDefault="00315D29" w:rsidP="00315D29">
      <w:pPr>
        <w:pStyle w:val="BodyText"/>
        <w:spacing w:after="0"/>
        <w:ind w:left="119" w:right="511"/>
        <w:rPr>
          <w:i/>
          <w:color w:val="000000" w:themeColor="text1"/>
        </w:rPr>
      </w:pPr>
      <w:r w:rsidRPr="000C0D78">
        <w:rPr>
          <w:i/>
          <w:color w:val="000000" w:themeColor="text1"/>
        </w:rPr>
        <w:t>This will be a pilot program which, absent written agreement between the parties, shall sunset on the expiration date of this Agreement.</w:t>
      </w:r>
    </w:p>
    <w:p w:rsidR="00315D29" w:rsidRPr="000C0D78" w:rsidRDefault="00315D29" w:rsidP="00315D29">
      <w:pPr>
        <w:pStyle w:val="BodyTextFlush"/>
        <w:spacing w:before="0"/>
        <w:jc w:val="left"/>
        <w:rPr>
          <w:color w:val="000000" w:themeColor="text1"/>
        </w:rPr>
      </w:pPr>
    </w:p>
    <w:p w:rsidR="00315D29" w:rsidRPr="000C0D78" w:rsidRDefault="00315D29" w:rsidP="00315D29">
      <w:pPr>
        <w:pStyle w:val="BodyText"/>
        <w:spacing w:after="0"/>
        <w:ind w:left="119" w:right="511"/>
        <w:rPr>
          <w:color w:val="000000" w:themeColor="text1"/>
        </w:rPr>
      </w:pPr>
      <w:r w:rsidRPr="000C0D78">
        <w:rPr>
          <w:color w:val="000000" w:themeColor="text1"/>
        </w:rPr>
        <w:t>Adjunct faculty who provide either face-to-face office hours or on-line synchronous office hour time will be eligible for compensated office hours subject to the following requirements:</w:t>
      </w:r>
    </w:p>
    <w:p w:rsidR="00315D29" w:rsidRPr="000C0D78" w:rsidRDefault="00315D29" w:rsidP="00315D29">
      <w:pPr>
        <w:pStyle w:val="BodyText"/>
        <w:spacing w:after="0"/>
        <w:rPr>
          <w:color w:val="000000" w:themeColor="text1"/>
        </w:rPr>
      </w:pPr>
    </w:p>
    <w:p w:rsidR="00315D29" w:rsidRPr="000C0D78" w:rsidRDefault="00315D29" w:rsidP="00315D29">
      <w:pPr>
        <w:pStyle w:val="ListParagraph"/>
        <w:widowControl w:val="0"/>
        <w:numPr>
          <w:ilvl w:val="0"/>
          <w:numId w:val="1"/>
        </w:numPr>
        <w:tabs>
          <w:tab w:val="left" w:pos="838"/>
          <w:tab w:val="left" w:pos="840"/>
        </w:tabs>
        <w:autoSpaceDE w:val="0"/>
        <w:autoSpaceDN w:val="0"/>
        <w:spacing w:after="0" w:line="240" w:lineRule="auto"/>
        <w:ind w:right="115"/>
        <w:contextualSpacing w:val="0"/>
        <w:rPr>
          <w:rFonts w:ascii="Times New Roman" w:hAnsi="Times New Roman"/>
          <w:color w:val="000000" w:themeColor="text1"/>
          <w:sz w:val="24"/>
          <w:szCs w:val="24"/>
        </w:rPr>
      </w:pPr>
      <w:r w:rsidRPr="000C0D78">
        <w:rPr>
          <w:rFonts w:ascii="Times New Roman" w:hAnsi="Times New Roman"/>
          <w:color w:val="000000" w:themeColor="text1"/>
          <w:sz w:val="24"/>
          <w:szCs w:val="24"/>
        </w:rPr>
        <w:t>Each adjunct faculty member must submit a completed form (Appendix J) to the appropriate school dean by no later than the last working day in October and the end of the first full week in April for the fall and spring semesters, respectively, or by the second week of the assignment, whichever is earlier. The faculty member must also include in the syllabus the number of office hours which he/she agrees to hold during the semester, including the days, times, and places where the office hours will be held.  The location of the office hours must be convenient to the students being served, and are subject to approval of the appropriate manager.</w:t>
      </w:r>
    </w:p>
    <w:p w:rsidR="00315D29" w:rsidRPr="000C0D78" w:rsidRDefault="00315D29" w:rsidP="00315D29">
      <w:pPr>
        <w:pStyle w:val="BodyText"/>
        <w:spacing w:after="0"/>
        <w:rPr>
          <w:color w:val="000000" w:themeColor="text1"/>
        </w:rPr>
      </w:pPr>
    </w:p>
    <w:p w:rsidR="00315D29" w:rsidRPr="000C0D78" w:rsidRDefault="00315D29" w:rsidP="00315D29">
      <w:pPr>
        <w:pStyle w:val="ListParagraph"/>
        <w:widowControl w:val="0"/>
        <w:numPr>
          <w:ilvl w:val="0"/>
          <w:numId w:val="1"/>
        </w:numPr>
        <w:tabs>
          <w:tab w:val="left" w:pos="838"/>
          <w:tab w:val="left" w:pos="840"/>
        </w:tabs>
        <w:autoSpaceDE w:val="0"/>
        <w:autoSpaceDN w:val="0"/>
        <w:spacing w:after="0" w:line="240" w:lineRule="auto"/>
        <w:contextualSpacing w:val="0"/>
        <w:rPr>
          <w:rFonts w:ascii="Times New Roman" w:hAnsi="Times New Roman"/>
          <w:color w:val="000000" w:themeColor="text1"/>
          <w:sz w:val="24"/>
          <w:szCs w:val="24"/>
        </w:rPr>
      </w:pPr>
      <w:r w:rsidRPr="000C0D78">
        <w:rPr>
          <w:rFonts w:ascii="Times New Roman" w:hAnsi="Times New Roman"/>
          <w:color w:val="000000" w:themeColor="text1"/>
          <w:sz w:val="24"/>
          <w:szCs w:val="24"/>
        </w:rPr>
        <w:t>A separate form must be submitted for each division/college where the faculty member has an assignment.</w:t>
      </w:r>
    </w:p>
    <w:p w:rsidR="00315D29" w:rsidRPr="000C0D78" w:rsidRDefault="00315D29" w:rsidP="00315D29">
      <w:pPr>
        <w:pStyle w:val="BodyText"/>
        <w:spacing w:after="0"/>
        <w:rPr>
          <w:color w:val="000000" w:themeColor="text1"/>
        </w:rPr>
      </w:pPr>
    </w:p>
    <w:p w:rsidR="00315D29" w:rsidRPr="000C0D78" w:rsidRDefault="00315D29" w:rsidP="00315D29">
      <w:pPr>
        <w:pStyle w:val="ListParagraph"/>
        <w:widowControl w:val="0"/>
        <w:numPr>
          <w:ilvl w:val="0"/>
          <w:numId w:val="1"/>
        </w:numPr>
        <w:tabs>
          <w:tab w:val="left" w:pos="838"/>
          <w:tab w:val="left" w:pos="840"/>
        </w:tabs>
        <w:autoSpaceDE w:val="0"/>
        <w:autoSpaceDN w:val="0"/>
        <w:spacing w:after="0" w:line="240" w:lineRule="auto"/>
        <w:contextualSpacing w:val="0"/>
        <w:rPr>
          <w:rFonts w:ascii="Times New Roman" w:hAnsi="Times New Roman"/>
          <w:color w:val="000000" w:themeColor="text1"/>
          <w:sz w:val="24"/>
          <w:szCs w:val="24"/>
        </w:rPr>
      </w:pPr>
      <w:r w:rsidRPr="000C0D78">
        <w:rPr>
          <w:rFonts w:ascii="Times New Roman" w:hAnsi="Times New Roman"/>
          <w:color w:val="000000" w:themeColor="text1"/>
          <w:sz w:val="24"/>
          <w:szCs w:val="24"/>
        </w:rPr>
        <w:t>The program does not apply to contract overload or ERI faculty.</w:t>
      </w:r>
    </w:p>
    <w:p w:rsidR="00315D29" w:rsidRPr="000C0D78" w:rsidRDefault="00315D29" w:rsidP="00315D29">
      <w:pPr>
        <w:pStyle w:val="BodyText"/>
        <w:spacing w:after="0"/>
        <w:rPr>
          <w:color w:val="000000" w:themeColor="text1"/>
        </w:rPr>
      </w:pPr>
    </w:p>
    <w:p w:rsidR="00315D29" w:rsidRPr="000C0D78" w:rsidRDefault="00315D29" w:rsidP="00315D29">
      <w:pPr>
        <w:pStyle w:val="ListParagraph"/>
        <w:widowControl w:val="0"/>
        <w:numPr>
          <w:ilvl w:val="0"/>
          <w:numId w:val="1"/>
        </w:numPr>
        <w:tabs>
          <w:tab w:val="left" w:pos="838"/>
          <w:tab w:val="left" w:pos="840"/>
        </w:tabs>
        <w:autoSpaceDE w:val="0"/>
        <w:autoSpaceDN w:val="0"/>
        <w:spacing w:after="0" w:line="240" w:lineRule="auto"/>
        <w:contextualSpacing w:val="0"/>
        <w:rPr>
          <w:rFonts w:ascii="Times New Roman" w:hAnsi="Times New Roman"/>
          <w:color w:val="000000" w:themeColor="text1"/>
          <w:sz w:val="24"/>
          <w:szCs w:val="24"/>
        </w:rPr>
      </w:pPr>
      <w:r w:rsidRPr="000C0D78">
        <w:rPr>
          <w:rFonts w:ascii="Times New Roman" w:hAnsi="Times New Roman"/>
          <w:color w:val="000000" w:themeColor="text1"/>
          <w:sz w:val="24"/>
          <w:szCs w:val="24"/>
        </w:rPr>
        <w:t>All payments will be made in the last pay period of the semester at the rate of $30/hour.</w:t>
      </w:r>
    </w:p>
    <w:p w:rsidR="00315D29" w:rsidRPr="000C0D78" w:rsidRDefault="00315D29" w:rsidP="00315D29">
      <w:pPr>
        <w:pStyle w:val="BodyText"/>
        <w:spacing w:after="0"/>
        <w:rPr>
          <w:color w:val="000000" w:themeColor="text1"/>
        </w:rPr>
      </w:pPr>
    </w:p>
    <w:p w:rsidR="00315D29" w:rsidRPr="000C0D78" w:rsidRDefault="00315D29" w:rsidP="00315D29">
      <w:pPr>
        <w:pStyle w:val="ListParagraph"/>
        <w:widowControl w:val="0"/>
        <w:numPr>
          <w:ilvl w:val="0"/>
          <w:numId w:val="1"/>
        </w:numPr>
        <w:tabs>
          <w:tab w:val="left" w:pos="838"/>
          <w:tab w:val="left" w:pos="840"/>
        </w:tabs>
        <w:autoSpaceDE w:val="0"/>
        <w:autoSpaceDN w:val="0"/>
        <w:spacing w:after="0" w:line="240" w:lineRule="auto"/>
        <w:contextualSpacing w:val="0"/>
        <w:rPr>
          <w:rFonts w:ascii="Times New Roman" w:hAnsi="Times New Roman"/>
          <w:color w:val="000000" w:themeColor="text1"/>
          <w:sz w:val="24"/>
          <w:szCs w:val="24"/>
        </w:rPr>
      </w:pPr>
      <w:r w:rsidRPr="000C0D78">
        <w:rPr>
          <w:rFonts w:ascii="Times New Roman" w:hAnsi="Times New Roman"/>
          <w:color w:val="000000" w:themeColor="text1"/>
          <w:sz w:val="24"/>
          <w:szCs w:val="24"/>
        </w:rPr>
        <w:t>This program will not require the creation of additional office space.</w:t>
      </w:r>
    </w:p>
    <w:p w:rsidR="00315D29" w:rsidRPr="000C0D78" w:rsidRDefault="00315D29" w:rsidP="00315D29">
      <w:pPr>
        <w:pStyle w:val="BodyText"/>
        <w:spacing w:after="0"/>
        <w:rPr>
          <w:color w:val="000000" w:themeColor="text1"/>
        </w:rPr>
      </w:pPr>
    </w:p>
    <w:p w:rsidR="00315D29" w:rsidRPr="000C0D78" w:rsidRDefault="00315D29" w:rsidP="00315D29">
      <w:pPr>
        <w:pStyle w:val="ListParagraph"/>
        <w:widowControl w:val="0"/>
        <w:numPr>
          <w:ilvl w:val="0"/>
          <w:numId w:val="1"/>
        </w:numPr>
        <w:tabs>
          <w:tab w:val="left" w:pos="838"/>
          <w:tab w:val="left" w:pos="840"/>
        </w:tabs>
        <w:autoSpaceDE w:val="0"/>
        <w:autoSpaceDN w:val="0"/>
        <w:spacing w:after="0" w:line="240" w:lineRule="auto"/>
        <w:contextualSpacing w:val="0"/>
        <w:rPr>
          <w:rFonts w:ascii="Times New Roman" w:hAnsi="Times New Roman"/>
          <w:color w:val="000000" w:themeColor="text1"/>
          <w:sz w:val="24"/>
          <w:szCs w:val="24"/>
        </w:rPr>
      </w:pPr>
      <w:r w:rsidRPr="000C0D78">
        <w:rPr>
          <w:rFonts w:ascii="Times New Roman" w:hAnsi="Times New Roman"/>
          <w:color w:val="000000" w:themeColor="text1"/>
          <w:sz w:val="24"/>
          <w:szCs w:val="24"/>
        </w:rPr>
        <w:t>Hours available per LED:</w:t>
      </w:r>
    </w:p>
    <w:p w:rsidR="00315D29" w:rsidRPr="000C0D78" w:rsidRDefault="00315D29" w:rsidP="00315D29">
      <w:pPr>
        <w:pStyle w:val="BodyText"/>
        <w:spacing w:after="0"/>
        <w:rPr>
          <w:color w:val="000000" w:themeColor="text1"/>
        </w:rPr>
      </w:pPr>
    </w:p>
    <w:p w:rsidR="00315D29" w:rsidRPr="000C0D78" w:rsidRDefault="00315D29" w:rsidP="00315D29">
      <w:pPr>
        <w:pStyle w:val="BodyText"/>
        <w:spacing w:after="0"/>
        <w:rPr>
          <w:color w:val="000000" w:themeColor="text1"/>
          <w:u w:val="single"/>
        </w:rPr>
      </w:pPr>
    </w:p>
    <w:p w:rsidR="00315D29" w:rsidRPr="000C0D78" w:rsidRDefault="00315D29" w:rsidP="00315D29">
      <w:pPr>
        <w:pStyle w:val="BodyText"/>
        <w:tabs>
          <w:tab w:val="left" w:pos="4320"/>
        </w:tabs>
        <w:spacing w:after="0"/>
        <w:ind w:left="1440"/>
        <w:rPr>
          <w:color w:val="000000" w:themeColor="text1"/>
          <w:u w:val="single"/>
        </w:rPr>
      </w:pPr>
      <w:r w:rsidRPr="000C0D78">
        <w:rPr>
          <w:color w:val="000000" w:themeColor="text1"/>
          <w:position w:val="8"/>
        </w:rPr>
        <w:tab/>
      </w:r>
      <w:r w:rsidRPr="000C0D78">
        <w:rPr>
          <w:color w:val="000000" w:themeColor="text1"/>
          <w:u w:val="single"/>
        </w:rPr>
        <w:t>MAXIMUM NUMBER OF</w:t>
      </w:r>
    </w:p>
    <w:p w:rsidR="00315D29" w:rsidRPr="000C0D78" w:rsidRDefault="00315D29" w:rsidP="00315D29">
      <w:pPr>
        <w:pStyle w:val="BodyText"/>
        <w:tabs>
          <w:tab w:val="left" w:pos="4680"/>
        </w:tabs>
        <w:spacing w:after="0"/>
        <w:ind w:left="1440"/>
        <w:rPr>
          <w:color w:val="000000" w:themeColor="text1"/>
          <w:u w:val="single"/>
        </w:rPr>
      </w:pPr>
      <w:r w:rsidRPr="000C0D78">
        <w:rPr>
          <w:color w:val="000000" w:themeColor="text1"/>
          <w:position w:val="8"/>
          <w:u w:val="single"/>
        </w:rPr>
        <w:t>SEMESTER LED</w:t>
      </w:r>
      <w:r w:rsidRPr="000C0D78">
        <w:rPr>
          <w:color w:val="000000" w:themeColor="text1"/>
          <w:position w:val="8"/>
        </w:rPr>
        <w:tab/>
      </w:r>
      <w:r w:rsidRPr="000C0D78">
        <w:rPr>
          <w:color w:val="000000" w:themeColor="text1"/>
          <w:u w:val="single"/>
        </w:rPr>
        <w:t>OFFICE HOURS</w:t>
      </w:r>
    </w:p>
    <w:p w:rsidR="00315D29" w:rsidRPr="00315D29" w:rsidRDefault="00315D29" w:rsidP="00315D29">
      <w:pPr>
        <w:ind w:left="4320" w:right="1440"/>
        <w:rPr>
          <w:color w:val="000000"/>
        </w:rPr>
      </w:pPr>
      <w:r w:rsidRPr="00315D29">
        <w:rPr>
          <w:color w:val="000000"/>
        </w:rPr>
        <w:t>(per semester from all GCCCD</w:t>
      </w:r>
    </w:p>
    <w:p w:rsidR="00315D29" w:rsidRPr="00315D29" w:rsidRDefault="00315D29" w:rsidP="00315D29">
      <w:pPr>
        <w:ind w:left="4590" w:right="1890"/>
        <w:rPr>
          <w:color w:val="000000"/>
        </w:rPr>
      </w:pPr>
      <w:r w:rsidRPr="00315D29">
        <w:rPr>
          <w:color w:val="000000"/>
        </w:rPr>
        <w:t>assignments combined)</w:t>
      </w:r>
    </w:p>
    <w:p w:rsidR="00315D29" w:rsidRPr="000C0D78" w:rsidRDefault="00315D29" w:rsidP="00315D29">
      <w:pPr>
        <w:pStyle w:val="BodyText"/>
        <w:spacing w:after="0"/>
        <w:rPr>
          <w:color w:val="000000" w:themeColor="text1"/>
          <w:u w:val="single"/>
        </w:rPr>
      </w:pPr>
    </w:p>
    <w:tbl>
      <w:tblPr>
        <w:tblW w:w="0" w:type="auto"/>
        <w:tblInd w:w="1855" w:type="dxa"/>
        <w:tblLayout w:type="fixed"/>
        <w:tblCellMar>
          <w:left w:w="0" w:type="dxa"/>
          <w:right w:w="0" w:type="dxa"/>
        </w:tblCellMar>
        <w:tblLook w:val="01E0" w:firstRow="1" w:lastRow="1" w:firstColumn="1" w:lastColumn="1" w:noHBand="0" w:noVBand="0"/>
      </w:tblPr>
      <w:tblGrid>
        <w:gridCol w:w="2213"/>
        <w:gridCol w:w="1782"/>
      </w:tblGrid>
      <w:tr w:rsidR="00315D29" w:rsidRPr="000C0D78" w:rsidTr="00D82937">
        <w:trPr>
          <w:trHeight w:val="272"/>
        </w:trPr>
        <w:tc>
          <w:tcPr>
            <w:tcW w:w="2213" w:type="dxa"/>
          </w:tcPr>
          <w:p w:rsidR="00315D29" w:rsidRPr="000C0D78" w:rsidRDefault="00315D29" w:rsidP="00D82937">
            <w:pPr>
              <w:pStyle w:val="TableParagraph"/>
              <w:spacing w:line="240" w:lineRule="auto"/>
              <w:rPr>
                <w:color w:val="000000" w:themeColor="text1"/>
                <w:sz w:val="24"/>
                <w:szCs w:val="24"/>
              </w:rPr>
            </w:pPr>
            <w:r w:rsidRPr="000C0D78">
              <w:rPr>
                <w:color w:val="000000" w:themeColor="text1"/>
                <w:sz w:val="24"/>
                <w:szCs w:val="24"/>
              </w:rPr>
              <w:t>.01 to .10</w:t>
            </w:r>
          </w:p>
        </w:tc>
        <w:tc>
          <w:tcPr>
            <w:tcW w:w="1782" w:type="dxa"/>
          </w:tcPr>
          <w:p w:rsidR="00315D29" w:rsidRPr="000C0D78" w:rsidRDefault="00315D29" w:rsidP="00D82937">
            <w:pPr>
              <w:pStyle w:val="TableParagraph"/>
              <w:spacing w:line="240" w:lineRule="auto"/>
              <w:ind w:left="965" w:right="-539"/>
              <w:rPr>
                <w:color w:val="000000" w:themeColor="text1"/>
                <w:sz w:val="24"/>
                <w:szCs w:val="24"/>
              </w:rPr>
            </w:pPr>
            <w:r w:rsidRPr="000C0D78">
              <w:rPr>
                <w:color w:val="000000" w:themeColor="text1"/>
                <w:sz w:val="24"/>
                <w:szCs w:val="24"/>
              </w:rPr>
              <w:t xml:space="preserve">       5</w:t>
            </w:r>
          </w:p>
        </w:tc>
      </w:tr>
      <w:tr w:rsidR="00315D29" w:rsidRPr="000C0D78" w:rsidTr="00D82937">
        <w:trPr>
          <w:trHeight w:val="275"/>
        </w:trPr>
        <w:tc>
          <w:tcPr>
            <w:tcW w:w="2213" w:type="dxa"/>
          </w:tcPr>
          <w:p w:rsidR="00315D29" w:rsidRPr="000C0D78" w:rsidRDefault="00315D29" w:rsidP="00D82937">
            <w:pPr>
              <w:pStyle w:val="TableParagraph"/>
              <w:spacing w:line="240" w:lineRule="auto"/>
              <w:rPr>
                <w:color w:val="000000" w:themeColor="text1"/>
                <w:sz w:val="24"/>
                <w:szCs w:val="24"/>
              </w:rPr>
            </w:pPr>
            <w:r w:rsidRPr="000C0D78">
              <w:rPr>
                <w:color w:val="000000" w:themeColor="text1"/>
                <w:sz w:val="24"/>
                <w:szCs w:val="24"/>
              </w:rPr>
              <w:t>.11 to .20</w:t>
            </w:r>
          </w:p>
        </w:tc>
        <w:tc>
          <w:tcPr>
            <w:tcW w:w="1782" w:type="dxa"/>
          </w:tcPr>
          <w:p w:rsidR="00315D29" w:rsidRPr="000C0D78" w:rsidRDefault="00315D29" w:rsidP="00D82937">
            <w:pPr>
              <w:pStyle w:val="TableParagraph"/>
              <w:spacing w:line="240" w:lineRule="auto"/>
              <w:ind w:left="1257"/>
              <w:rPr>
                <w:color w:val="000000" w:themeColor="text1"/>
                <w:sz w:val="24"/>
                <w:szCs w:val="24"/>
              </w:rPr>
            </w:pPr>
            <w:r w:rsidRPr="000C0D78">
              <w:rPr>
                <w:color w:val="000000" w:themeColor="text1"/>
                <w:sz w:val="24"/>
                <w:szCs w:val="24"/>
              </w:rPr>
              <w:t>10</w:t>
            </w:r>
          </w:p>
        </w:tc>
      </w:tr>
      <w:tr w:rsidR="00315D29" w:rsidRPr="000C0D78" w:rsidTr="00D82937">
        <w:trPr>
          <w:trHeight w:val="276"/>
        </w:trPr>
        <w:tc>
          <w:tcPr>
            <w:tcW w:w="2213" w:type="dxa"/>
          </w:tcPr>
          <w:p w:rsidR="00315D29" w:rsidRPr="000C0D78" w:rsidRDefault="00315D29" w:rsidP="00D82937">
            <w:pPr>
              <w:pStyle w:val="TableParagraph"/>
              <w:spacing w:line="240" w:lineRule="auto"/>
              <w:rPr>
                <w:color w:val="000000" w:themeColor="text1"/>
                <w:sz w:val="24"/>
                <w:szCs w:val="24"/>
              </w:rPr>
            </w:pPr>
            <w:r w:rsidRPr="000C0D78">
              <w:rPr>
                <w:color w:val="000000" w:themeColor="text1"/>
                <w:sz w:val="24"/>
                <w:szCs w:val="24"/>
              </w:rPr>
              <w:t>.21 to .30</w:t>
            </w:r>
          </w:p>
        </w:tc>
        <w:tc>
          <w:tcPr>
            <w:tcW w:w="1782" w:type="dxa"/>
          </w:tcPr>
          <w:p w:rsidR="00315D29" w:rsidRPr="000C0D78" w:rsidRDefault="00315D29" w:rsidP="00D82937">
            <w:pPr>
              <w:pStyle w:val="TableParagraph"/>
              <w:spacing w:line="240" w:lineRule="auto"/>
              <w:ind w:left="1257"/>
              <w:rPr>
                <w:color w:val="000000" w:themeColor="text1"/>
                <w:sz w:val="24"/>
                <w:szCs w:val="24"/>
              </w:rPr>
            </w:pPr>
            <w:r w:rsidRPr="000C0D78">
              <w:rPr>
                <w:color w:val="000000" w:themeColor="text1"/>
                <w:sz w:val="24"/>
                <w:szCs w:val="24"/>
              </w:rPr>
              <w:t>15</w:t>
            </w:r>
          </w:p>
        </w:tc>
      </w:tr>
      <w:tr w:rsidR="00315D29" w:rsidRPr="000C0D78" w:rsidTr="00D82937">
        <w:trPr>
          <w:trHeight w:val="275"/>
        </w:trPr>
        <w:tc>
          <w:tcPr>
            <w:tcW w:w="2213" w:type="dxa"/>
          </w:tcPr>
          <w:p w:rsidR="00315D29" w:rsidRPr="000C0D78" w:rsidRDefault="00315D29" w:rsidP="00D82937">
            <w:pPr>
              <w:pStyle w:val="TableParagraph"/>
              <w:spacing w:line="240" w:lineRule="auto"/>
              <w:rPr>
                <w:color w:val="000000" w:themeColor="text1"/>
                <w:sz w:val="24"/>
                <w:szCs w:val="24"/>
              </w:rPr>
            </w:pPr>
            <w:r w:rsidRPr="000C0D78">
              <w:rPr>
                <w:color w:val="000000" w:themeColor="text1"/>
                <w:sz w:val="24"/>
                <w:szCs w:val="24"/>
              </w:rPr>
              <w:t>.31 to .40</w:t>
            </w:r>
          </w:p>
        </w:tc>
        <w:tc>
          <w:tcPr>
            <w:tcW w:w="1782" w:type="dxa"/>
          </w:tcPr>
          <w:p w:rsidR="00315D29" w:rsidRPr="000C0D78" w:rsidRDefault="00315D29" w:rsidP="00D82937">
            <w:pPr>
              <w:pStyle w:val="TableParagraph"/>
              <w:spacing w:line="240" w:lineRule="auto"/>
              <w:ind w:left="1257"/>
              <w:rPr>
                <w:color w:val="000000" w:themeColor="text1"/>
                <w:sz w:val="24"/>
                <w:szCs w:val="24"/>
              </w:rPr>
            </w:pPr>
            <w:r w:rsidRPr="000C0D78">
              <w:rPr>
                <w:color w:val="000000" w:themeColor="text1"/>
                <w:sz w:val="24"/>
                <w:szCs w:val="24"/>
              </w:rPr>
              <w:t>20</w:t>
            </w:r>
          </w:p>
        </w:tc>
      </w:tr>
      <w:tr w:rsidR="00315D29" w:rsidRPr="000C0D78" w:rsidTr="00D82937">
        <w:trPr>
          <w:trHeight w:val="276"/>
        </w:trPr>
        <w:tc>
          <w:tcPr>
            <w:tcW w:w="2213" w:type="dxa"/>
          </w:tcPr>
          <w:p w:rsidR="00315D29" w:rsidRPr="000C0D78" w:rsidRDefault="00315D29" w:rsidP="00D82937">
            <w:pPr>
              <w:pStyle w:val="TableParagraph"/>
              <w:spacing w:line="240" w:lineRule="auto"/>
              <w:rPr>
                <w:color w:val="000000" w:themeColor="text1"/>
                <w:sz w:val="24"/>
                <w:szCs w:val="24"/>
              </w:rPr>
            </w:pPr>
            <w:r w:rsidRPr="000C0D78">
              <w:rPr>
                <w:color w:val="000000" w:themeColor="text1"/>
                <w:sz w:val="24"/>
                <w:szCs w:val="24"/>
              </w:rPr>
              <w:t>.41 to .50</w:t>
            </w:r>
          </w:p>
        </w:tc>
        <w:tc>
          <w:tcPr>
            <w:tcW w:w="1782" w:type="dxa"/>
          </w:tcPr>
          <w:p w:rsidR="00315D29" w:rsidRPr="000C0D78" w:rsidRDefault="00315D29" w:rsidP="00D82937">
            <w:pPr>
              <w:pStyle w:val="TableParagraph"/>
              <w:spacing w:line="240" w:lineRule="auto"/>
              <w:ind w:left="1257"/>
              <w:rPr>
                <w:color w:val="000000" w:themeColor="text1"/>
                <w:sz w:val="24"/>
                <w:szCs w:val="24"/>
              </w:rPr>
            </w:pPr>
            <w:r w:rsidRPr="000C0D78">
              <w:rPr>
                <w:color w:val="000000" w:themeColor="text1"/>
                <w:sz w:val="24"/>
                <w:szCs w:val="24"/>
              </w:rPr>
              <w:t>25</w:t>
            </w:r>
          </w:p>
        </w:tc>
      </w:tr>
      <w:tr w:rsidR="00315D29" w:rsidRPr="000C0D78" w:rsidTr="00D82937">
        <w:trPr>
          <w:trHeight w:val="275"/>
        </w:trPr>
        <w:tc>
          <w:tcPr>
            <w:tcW w:w="2213" w:type="dxa"/>
          </w:tcPr>
          <w:p w:rsidR="00315D29" w:rsidRPr="000C0D78" w:rsidRDefault="00315D29" w:rsidP="00D82937">
            <w:pPr>
              <w:pStyle w:val="TableParagraph"/>
              <w:spacing w:line="240" w:lineRule="auto"/>
              <w:rPr>
                <w:color w:val="000000" w:themeColor="text1"/>
                <w:sz w:val="24"/>
                <w:szCs w:val="24"/>
              </w:rPr>
            </w:pPr>
            <w:r w:rsidRPr="000C0D78">
              <w:rPr>
                <w:color w:val="000000" w:themeColor="text1"/>
                <w:sz w:val="24"/>
                <w:szCs w:val="24"/>
              </w:rPr>
              <w:t>.51 to .60</w:t>
            </w:r>
          </w:p>
        </w:tc>
        <w:tc>
          <w:tcPr>
            <w:tcW w:w="1782" w:type="dxa"/>
          </w:tcPr>
          <w:p w:rsidR="00315D29" w:rsidRPr="000C0D78" w:rsidRDefault="00315D29" w:rsidP="00D82937">
            <w:pPr>
              <w:pStyle w:val="TableParagraph"/>
              <w:spacing w:line="240" w:lineRule="auto"/>
              <w:ind w:left="1257"/>
              <w:rPr>
                <w:color w:val="000000" w:themeColor="text1"/>
                <w:sz w:val="24"/>
                <w:szCs w:val="24"/>
              </w:rPr>
            </w:pPr>
            <w:r w:rsidRPr="000C0D78">
              <w:rPr>
                <w:color w:val="000000" w:themeColor="text1"/>
                <w:sz w:val="24"/>
                <w:szCs w:val="24"/>
              </w:rPr>
              <w:t>30</w:t>
            </w:r>
          </w:p>
        </w:tc>
      </w:tr>
      <w:tr w:rsidR="00315D29" w:rsidRPr="000C0D78" w:rsidTr="00D82937">
        <w:trPr>
          <w:trHeight w:val="269"/>
        </w:trPr>
        <w:tc>
          <w:tcPr>
            <w:tcW w:w="2213" w:type="dxa"/>
          </w:tcPr>
          <w:p w:rsidR="00315D29" w:rsidRPr="000C0D78" w:rsidRDefault="00315D29" w:rsidP="00D82937">
            <w:pPr>
              <w:pStyle w:val="TableParagraph"/>
              <w:spacing w:line="240" w:lineRule="auto"/>
              <w:rPr>
                <w:color w:val="000000" w:themeColor="text1"/>
                <w:sz w:val="24"/>
                <w:szCs w:val="24"/>
              </w:rPr>
            </w:pPr>
            <w:r w:rsidRPr="000C0D78">
              <w:rPr>
                <w:color w:val="000000" w:themeColor="text1"/>
                <w:sz w:val="24"/>
                <w:szCs w:val="24"/>
              </w:rPr>
              <w:t>.61 to .67</w:t>
            </w:r>
          </w:p>
        </w:tc>
        <w:tc>
          <w:tcPr>
            <w:tcW w:w="1782" w:type="dxa"/>
          </w:tcPr>
          <w:p w:rsidR="00315D29" w:rsidRPr="000C0D78" w:rsidRDefault="00315D29" w:rsidP="00D82937">
            <w:pPr>
              <w:pStyle w:val="TableParagraph"/>
              <w:spacing w:line="240" w:lineRule="auto"/>
              <w:ind w:left="1257"/>
              <w:rPr>
                <w:color w:val="000000" w:themeColor="text1"/>
                <w:sz w:val="24"/>
                <w:szCs w:val="24"/>
              </w:rPr>
            </w:pPr>
            <w:r w:rsidRPr="000C0D78">
              <w:rPr>
                <w:color w:val="000000" w:themeColor="text1"/>
                <w:sz w:val="24"/>
                <w:szCs w:val="24"/>
              </w:rPr>
              <w:t>33.5</w:t>
            </w:r>
          </w:p>
        </w:tc>
      </w:tr>
    </w:tbl>
    <w:p w:rsidR="00315D29" w:rsidRPr="000C0D78" w:rsidRDefault="00315D29" w:rsidP="00315D29">
      <w:pPr>
        <w:rPr>
          <w:color w:val="000000" w:themeColor="text1"/>
        </w:rPr>
      </w:pPr>
    </w:p>
    <w:sectPr w:rsidR="00315D29" w:rsidRPr="000C0D78" w:rsidSect="00D361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Headings CS)">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8D2663"/>
    <w:multiLevelType w:val="hybridMultilevel"/>
    <w:tmpl w:val="B838EE9A"/>
    <w:lvl w:ilvl="0" w:tplc="4E7C5BEA">
      <w:start w:val="1"/>
      <w:numFmt w:val="decimal"/>
      <w:lvlText w:val="%1."/>
      <w:lvlJc w:val="left"/>
      <w:pPr>
        <w:ind w:left="839" w:hanging="720"/>
      </w:pPr>
      <w:rPr>
        <w:rFonts w:ascii="Times New Roman" w:eastAsia="Times New Roman" w:hAnsi="Times New Roman" w:cs="Times New Roman" w:hint="default"/>
        <w:spacing w:val="-1"/>
        <w:w w:val="100"/>
        <w:sz w:val="24"/>
        <w:szCs w:val="24"/>
      </w:rPr>
    </w:lvl>
    <w:lvl w:ilvl="1" w:tplc="9E90A706">
      <w:numFmt w:val="bullet"/>
      <w:lvlText w:val="•"/>
      <w:lvlJc w:val="left"/>
      <w:pPr>
        <w:ind w:left="1860" w:hanging="720"/>
      </w:pPr>
      <w:rPr>
        <w:rFonts w:hint="default"/>
      </w:rPr>
    </w:lvl>
    <w:lvl w:ilvl="2" w:tplc="2280F820">
      <w:numFmt w:val="bullet"/>
      <w:lvlText w:val="•"/>
      <w:lvlJc w:val="left"/>
      <w:pPr>
        <w:ind w:left="2880" w:hanging="720"/>
      </w:pPr>
      <w:rPr>
        <w:rFonts w:hint="default"/>
      </w:rPr>
    </w:lvl>
    <w:lvl w:ilvl="3" w:tplc="8AB0E3A0">
      <w:numFmt w:val="bullet"/>
      <w:lvlText w:val="•"/>
      <w:lvlJc w:val="left"/>
      <w:pPr>
        <w:ind w:left="3900" w:hanging="720"/>
      </w:pPr>
      <w:rPr>
        <w:rFonts w:hint="default"/>
      </w:rPr>
    </w:lvl>
    <w:lvl w:ilvl="4" w:tplc="FAF67752">
      <w:numFmt w:val="bullet"/>
      <w:lvlText w:val="•"/>
      <w:lvlJc w:val="left"/>
      <w:pPr>
        <w:ind w:left="4920" w:hanging="720"/>
      </w:pPr>
      <w:rPr>
        <w:rFonts w:hint="default"/>
      </w:rPr>
    </w:lvl>
    <w:lvl w:ilvl="5" w:tplc="19FC5130">
      <w:numFmt w:val="bullet"/>
      <w:lvlText w:val="•"/>
      <w:lvlJc w:val="left"/>
      <w:pPr>
        <w:ind w:left="5940" w:hanging="720"/>
      </w:pPr>
      <w:rPr>
        <w:rFonts w:hint="default"/>
      </w:rPr>
    </w:lvl>
    <w:lvl w:ilvl="6" w:tplc="11FC7776">
      <w:numFmt w:val="bullet"/>
      <w:lvlText w:val="•"/>
      <w:lvlJc w:val="left"/>
      <w:pPr>
        <w:ind w:left="6960" w:hanging="720"/>
      </w:pPr>
      <w:rPr>
        <w:rFonts w:hint="default"/>
      </w:rPr>
    </w:lvl>
    <w:lvl w:ilvl="7" w:tplc="73B8D59E">
      <w:numFmt w:val="bullet"/>
      <w:lvlText w:val="•"/>
      <w:lvlJc w:val="left"/>
      <w:pPr>
        <w:ind w:left="7980" w:hanging="720"/>
      </w:pPr>
      <w:rPr>
        <w:rFonts w:hint="default"/>
      </w:rPr>
    </w:lvl>
    <w:lvl w:ilvl="8" w:tplc="AE080D4C">
      <w:numFmt w:val="bullet"/>
      <w:lvlText w:val="•"/>
      <w:lvlJc w:val="left"/>
      <w:pPr>
        <w:ind w:left="900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D29"/>
    <w:rsid w:val="001326AA"/>
    <w:rsid w:val="00173392"/>
    <w:rsid w:val="002E6FB6"/>
    <w:rsid w:val="00315D29"/>
    <w:rsid w:val="00625E0C"/>
    <w:rsid w:val="00C1690B"/>
    <w:rsid w:val="00CB740D"/>
    <w:rsid w:val="00D361F3"/>
    <w:rsid w:val="00E77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71BAD9A3-7821-5143-9161-C1BBEE137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15D29"/>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E77E4E"/>
    <w:pPr>
      <w:framePr w:w="7920" w:h="1980" w:hRule="exact" w:hSpace="180" w:wrap="auto" w:hAnchor="page" w:xAlign="center" w:yAlign="bottom"/>
      <w:ind w:left="2880"/>
    </w:pPr>
    <w:rPr>
      <w:rFonts w:eastAsiaTheme="majorEastAsia" w:cs="Times New Roman (Headings CS)"/>
      <w:sz w:val="28"/>
    </w:rPr>
  </w:style>
  <w:style w:type="paragraph" w:styleId="BodyText">
    <w:name w:val="Body Text"/>
    <w:basedOn w:val="Normal"/>
    <w:link w:val="BodyTextChar"/>
    <w:rsid w:val="00315D29"/>
    <w:pPr>
      <w:spacing w:after="120"/>
    </w:pPr>
  </w:style>
  <w:style w:type="character" w:customStyle="1" w:styleId="BodyTextChar">
    <w:name w:val="Body Text Char"/>
    <w:basedOn w:val="DefaultParagraphFont"/>
    <w:link w:val="BodyText"/>
    <w:rsid w:val="00315D29"/>
    <w:rPr>
      <w:rFonts w:eastAsia="Times New Roman"/>
    </w:rPr>
  </w:style>
  <w:style w:type="paragraph" w:styleId="ListParagraph">
    <w:name w:val="List Paragraph"/>
    <w:basedOn w:val="Normal"/>
    <w:uiPriority w:val="34"/>
    <w:qFormat/>
    <w:rsid w:val="00315D29"/>
    <w:pPr>
      <w:spacing w:after="200" w:line="276" w:lineRule="auto"/>
      <w:ind w:left="720"/>
      <w:contextualSpacing/>
    </w:pPr>
    <w:rPr>
      <w:rFonts w:ascii="Calibri" w:eastAsia="Calibri" w:hAnsi="Calibri"/>
      <w:sz w:val="22"/>
      <w:szCs w:val="22"/>
    </w:rPr>
  </w:style>
  <w:style w:type="paragraph" w:customStyle="1" w:styleId="BodyTextFlush">
    <w:name w:val="Body Text Flush"/>
    <w:basedOn w:val="Normal"/>
    <w:link w:val="BodyTextFlushChar"/>
    <w:qFormat/>
    <w:rsid w:val="00315D29"/>
    <w:pPr>
      <w:spacing w:before="240"/>
      <w:jc w:val="both"/>
    </w:pPr>
    <w:rPr>
      <w:rFonts w:eastAsiaTheme="minorEastAsia"/>
    </w:rPr>
  </w:style>
  <w:style w:type="character" w:customStyle="1" w:styleId="BodyTextFlushChar">
    <w:name w:val="Body Text Flush Char"/>
    <w:basedOn w:val="DefaultParagraphFont"/>
    <w:link w:val="BodyTextFlush"/>
    <w:rsid w:val="00315D29"/>
    <w:rPr>
      <w:rFonts w:eastAsiaTheme="minorEastAsia"/>
    </w:rPr>
  </w:style>
  <w:style w:type="paragraph" w:customStyle="1" w:styleId="TableParagraph">
    <w:name w:val="Table Paragraph"/>
    <w:basedOn w:val="Normal"/>
    <w:uiPriority w:val="1"/>
    <w:qFormat/>
    <w:rsid w:val="00315D29"/>
    <w:pPr>
      <w:autoSpaceDE w:val="0"/>
      <w:autoSpaceDN w:val="0"/>
      <w:spacing w:line="256" w:lineRule="exact"/>
      <w:ind w:left="50"/>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4520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242</Words>
  <Characters>1381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Mahler</dc:creator>
  <cp:keywords/>
  <dc:description/>
  <cp:lastModifiedBy>Dennis Ancinec</cp:lastModifiedBy>
  <cp:revision>2</cp:revision>
  <dcterms:created xsi:type="dcterms:W3CDTF">2019-02-12T04:02:00Z</dcterms:created>
  <dcterms:modified xsi:type="dcterms:W3CDTF">2019-02-12T04:02:00Z</dcterms:modified>
</cp:coreProperties>
</file>